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1864D2">
                              <w:rPr>
                                <w:rStyle w:val="Strong"/>
                                <w:color w:val="1F497D" w:themeColor="text2"/>
                              </w:rPr>
                              <w:t>April 21,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513B">
                            <w:pPr>
                              <w:pStyle w:val="NoSpacing"/>
                              <w:rPr>
                                <w:rStyle w:val="Strong"/>
                                <w:color w:val="1F497D" w:themeColor="text2"/>
                              </w:rPr>
                            </w:pPr>
                            <w:r w:rsidRPr="00E039E1">
                              <w:rPr>
                                <w:rStyle w:val="Strong"/>
                                <w:color w:val="1F497D" w:themeColor="text2"/>
                              </w:rPr>
                              <w:t>Location:</w:t>
                            </w:r>
                            <w:r w:rsidR="00883C3D">
                              <w:rPr>
                                <w:rStyle w:val="Strong"/>
                                <w:color w:val="1F497D" w:themeColor="text2"/>
                              </w:rPr>
                              <w:t xml:space="preserve"> Maine Medical Association,</w:t>
                            </w:r>
                          </w:p>
                          <w:p w:rsidR="00883C3D" w:rsidRDefault="00883C3D" w:rsidP="00CA513B">
                            <w:pPr>
                              <w:pStyle w:val="NoSpacing"/>
                              <w:rPr>
                                <w:rStyle w:val="Strong"/>
                                <w:color w:val="1F497D" w:themeColor="text2"/>
                              </w:rPr>
                            </w:pPr>
                            <w:r>
                              <w:rPr>
                                <w:rStyle w:val="Strong"/>
                                <w:color w:val="1F497D" w:themeColor="text2"/>
                              </w:rPr>
                              <w:tab/>
                              <w:t xml:space="preserve">    Manchester</w:t>
                            </w: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1864D2">
                        <w:rPr>
                          <w:rStyle w:val="Strong"/>
                          <w:color w:val="1F497D" w:themeColor="text2"/>
                        </w:rPr>
                        <w:t>April 21,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513B">
                      <w:pPr>
                        <w:pStyle w:val="NoSpacing"/>
                        <w:rPr>
                          <w:rStyle w:val="Strong"/>
                          <w:color w:val="1F497D" w:themeColor="text2"/>
                        </w:rPr>
                      </w:pPr>
                      <w:r w:rsidRPr="00E039E1">
                        <w:rPr>
                          <w:rStyle w:val="Strong"/>
                          <w:color w:val="1F497D" w:themeColor="text2"/>
                        </w:rPr>
                        <w:t>Location:</w:t>
                      </w:r>
                      <w:r w:rsidR="00883C3D">
                        <w:rPr>
                          <w:rStyle w:val="Strong"/>
                          <w:color w:val="1F497D" w:themeColor="text2"/>
                        </w:rPr>
                        <w:t xml:space="preserve"> Maine Medical Association,</w:t>
                      </w:r>
                    </w:p>
                    <w:p w:rsidR="00883C3D" w:rsidRDefault="00883C3D" w:rsidP="00CA513B">
                      <w:pPr>
                        <w:pStyle w:val="NoSpacing"/>
                        <w:rPr>
                          <w:rStyle w:val="Strong"/>
                          <w:color w:val="1F497D" w:themeColor="text2"/>
                        </w:rPr>
                      </w:pPr>
                      <w:r>
                        <w:rPr>
                          <w:rStyle w:val="Strong"/>
                          <w:color w:val="1F497D" w:themeColor="text2"/>
                        </w:rPr>
                        <w:tab/>
                        <w:t xml:space="preserve">    Manchester</w:t>
                      </w: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t xml:space="preserve">    </w:t>
      </w:r>
      <w:r w:rsidR="008D18D1">
        <w:rPr>
          <w:noProof/>
        </w:rPr>
        <w:drawing>
          <wp:inline distT="0" distB="0" distL="0" distR="0" wp14:anchorId="63EED9C1" wp14:editId="5D24A477">
            <wp:extent cx="1752600" cy="590550"/>
            <wp:effectExtent l="0" t="0" r="0"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p w:rsidR="00B360D6" w:rsidRPr="00382C14" w:rsidRDefault="00B360D6" w:rsidP="00B360D6">
      <w:r w:rsidRPr="00382C14">
        <w:rPr>
          <w:b/>
        </w:rPr>
        <w:t>Chair</w:t>
      </w:r>
      <w:r w:rsidR="00CA7F6A" w:rsidRPr="00382C14">
        <w:t xml:space="preserve"> </w:t>
      </w:r>
      <w:r w:rsidR="008D18D1">
        <w:t>Frank Johnson</w:t>
      </w:r>
    </w:p>
    <w:p w:rsidR="00585463" w:rsidRPr="00382C14" w:rsidRDefault="00B360D6" w:rsidP="00B360D6">
      <w:pPr>
        <w:pStyle w:val="NoSpacing"/>
      </w:pPr>
      <w:r w:rsidRPr="00382C14">
        <w:rPr>
          <w:b/>
        </w:rPr>
        <w:t>Core Member Attendance:</w:t>
      </w:r>
      <w:r w:rsidR="009F7035" w:rsidRPr="00382C14">
        <w:t xml:space="preserve"> </w:t>
      </w:r>
      <w:r w:rsidR="00B13E6A">
        <w:t xml:space="preserve"> </w:t>
      </w:r>
      <w:r w:rsidR="008D6D7B">
        <w:t>Andr</w:t>
      </w:r>
      <w:r w:rsidR="00883C3D">
        <w:t>ew Ellis, Anthem BCBS (remote);</w:t>
      </w:r>
      <w:r w:rsidR="00FD55A5">
        <w:t xml:space="preserve"> Pat Denning, Harvard Pilgrim (remote; Fan </w:t>
      </w:r>
      <w:proofErr w:type="spellStart"/>
      <w:r w:rsidR="00FD55A5">
        <w:t>Jenseon</w:t>
      </w:r>
      <w:proofErr w:type="spellEnd"/>
      <w:r w:rsidR="00FD55A5">
        <w:t xml:space="preserve">, CMMI (remote); </w:t>
      </w:r>
      <w:r w:rsidR="00B13E6A">
        <w:t xml:space="preserve"> </w:t>
      </w:r>
      <w:r w:rsidR="001864D2">
        <w:t xml:space="preserve">Jim Kane, Central Maine Healthcare; John </w:t>
      </w:r>
      <w:proofErr w:type="spellStart"/>
      <w:r w:rsidR="001864D2">
        <w:t>Keiming</w:t>
      </w:r>
      <w:proofErr w:type="spellEnd"/>
      <w:r w:rsidR="001864D2">
        <w:t xml:space="preserve">, </w:t>
      </w:r>
      <w:proofErr w:type="spellStart"/>
      <w:r w:rsidR="001864D2">
        <w:t>Healthcentric</w:t>
      </w:r>
      <w:proofErr w:type="spellEnd"/>
      <w:r w:rsidR="001864D2">
        <w:t xml:space="preserve"> Advisors; </w:t>
      </w:r>
      <w:r w:rsidR="00B13E6A">
        <w:t xml:space="preserve"> </w:t>
      </w:r>
      <w:r w:rsidR="008D6D7B">
        <w:t xml:space="preserve">Peter Kraut, </w:t>
      </w:r>
      <w:proofErr w:type="spellStart"/>
      <w:r w:rsidR="008D6D7B">
        <w:t>MaineCare</w:t>
      </w:r>
      <w:proofErr w:type="spellEnd"/>
      <w:r w:rsidR="00FD55A5">
        <w:t>;</w:t>
      </w:r>
      <w:r w:rsidR="008D6D7B">
        <w:t xml:space="preserve"> </w:t>
      </w:r>
      <w:r w:rsidR="00FD55A5">
        <w:t xml:space="preserve">Wanda </w:t>
      </w:r>
      <w:proofErr w:type="spellStart"/>
      <w:r w:rsidR="00FD55A5">
        <w:t>Pelkey</w:t>
      </w:r>
      <w:proofErr w:type="spellEnd"/>
      <w:r w:rsidR="00FD55A5">
        <w:t xml:space="preserve">, First Atlantic (remote); </w:t>
      </w:r>
      <w:r w:rsidR="008D6D7B">
        <w:t xml:space="preserve"> </w:t>
      </w:r>
      <w:r w:rsidR="00883C3D">
        <w:t xml:space="preserve">Michelle Probert, Bath Iron Works; Jeff Smorczewski, Aetna; </w:t>
      </w:r>
    </w:p>
    <w:p w:rsidR="008D18D1" w:rsidRDefault="008D18D1" w:rsidP="008D18D1">
      <w:pPr>
        <w:pStyle w:val="NoSpacing"/>
      </w:pPr>
    </w:p>
    <w:p w:rsidR="00B360D6" w:rsidRPr="00382C14" w:rsidRDefault="00B360D6" w:rsidP="008D18D1">
      <w:pPr>
        <w:pStyle w:val="NoSpacing"/>
      </w:pPr>
      <w:r w:rsidRPr="008D18D1">
        <w:rPr>
          <w:b/>
        </w:rPr>
        <w:t>Interested Parties &amp; Guests</w:t>
      </w:r>
      <w:r w:rsidR="00B10C95" w:rsidRPr="00382C14">
        <w:t>:</w:t>
      </w:r>
      <w:r w:rsidR="00FD55A5">
        <w:t xml:space="preserve"> Lisa Letourneau, Quality Counts; </w:t>
      </w:r>
      <w:r w:rsidR="001864D2">
        <w:t xml:space="preserve">Christopher </w:t>
      </w:r>
      <w:proofErr w:type="spellStart"/>
      <w:r w:rsidR="001864D2">
        <w:t>Pezzullo</w:t>
      </w:r>
      <w:proofErr w:type="spellEnd"/>
      <w:r w:rsidR="001864D2">
        <w:t xml:space="preserve">, </w:t>
      </w:r>
      <w:proofErr w:type="spellStart"/>
      <w:r w:rsidR="001864D2">
        <w:t>MaineCare</w:t>
      </w:r>
      <w:proofErr w:type="spellEnd"/>
      <w:r w:rsidR="001864D2">
        <w:t>; Lisa Tuttle, Quality Counts;</w:t>
      </w:r>
      <w:r w:rsidR="00B10C95" w:rsidRPr="00382C14">
        <w:t xml:space="preserve"> </w:t>
      </w:r>
      <w:r w:rsidR="001864D2">
        <w:t xml:space="preserve">David Winslow, Maine Hospital Association; </w:t>
      </w:r>
      <w:r w:rsidR="00A068BD">
        <w:t xml:space="preserve"> </w:t>
      </w:r>
    </w:p>
    <w:p w:rsidR="00F70000" w:rsidRDefault="00F70000" w:rsidP="00F70000">
      <w:pPr>
        <w:pStyle w:val="NoSpacing"/>
      </w:pPr>
    </w:p>
    <w:p w:rsidR="00AD5607" w:rsidRPr="00F70000" w:rsidRDefault="00B360D6" w:rsidP="00F70000">
      <w:pPr>
        <w:pStyle w:val="NoSpacing"/>
      </w:pPr>
      <w:r w:rsidRPr="00F70000">
        <w:rPr>
          <w:b/>
        </w:rPr>
        <w:t>Staff:</w:t>
      </w:r>
      <w:r w:rsidR="00CA7F6A" w:rsidRPr="00F70000">
        <w:rPr>
          <w:b/>
        </w:rPr>
        <w:t xml:space="preserve"> </w:t>
      </w:r>
      <w:r w:rsidR="00F70000">
        <w:t>Li</w:t>
      </w:r>
      <w:r w:rsidR="00A068BD">
        <w:t>sa Nolan, MHMC;</w:t>
      </w:r>
      <w:r w:rsidR="00FD55A5">
        <w:t xml:space="preserve"> </w:t>
      </w:r>
      <w:r w:rsidR="00A068BD">
        <w:t xml:space="preserve">Blake Hendrickson, MHMC. </w:t>
      </w:r>
    </w:p>
    <w:p w:rsidR="00F70000" w:rsidRPr="00382C14" w:rsidRDefault="00F70000" w:rsidP="00F70000">
      <w:pPr>
        <w:pStyle w:val="NoSpacing"/>
      </w:pP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FD55A5" w:rsidP="00A068BD">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Primary Care Spend Objective</w:t>
            </w:r>
          </w:p>
        </w:tc>
        <w:tc>
          <w:tcPr>
            <w:tcW w:w="1620" w:type="dxa"/>
          </w:tcPr>
          <w:p w:rsidR="00046DB0" w:rsidRPr="00382C14" w:rsidRDefault="00FD55A5" w:rsidP="0061044D">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4050" w:type="dxa"/>
          </w:tcPr>
          <w:p w:rsidR="00FD55A5" w:rsidRDefault="00FD55A5" w:rsidP="00DF6C20">
            <w:r>
              <w:t xml:space="preserve">Frank update the Subcommittee on the ongoing efforts to define and calculate primary care </w:t>
            </w:r>
            <w:proofErr w:type="gramStart"/>
            <w:r>
              <w:t>spend</w:t>
            </w:r>
            <w:proofErr w:type="gramEnd"/>
            <w:r>
              <w:t xml:space="preserve"> as a percentage of total healthcare expenditures.</w:t>
            </w:r>
          </w:p>
          <w:p w:rsidR="00366684" w:rsidRPr="00382C14" w:rsidRDefault="00366684" w:rsidP="00DF6C20"/>
        </w:tc>
        <w:tc>
          <w:tcPr>
            <w:tcW w:w="2790" w:type="dxa"/>
          </w:tcPr>
          <w:p w:rsidR="000A6C66" w:rsidRPr="00DF6C20" w:rsidRDefault="00F03098" w:rsidP="00DF6C20">
            <w:pPr>
              <w:pStyle w:val="Formal1"/>
              <w:rPr>
                <w:rFonts w:asciiTheme="minorHAnsi" w:hAnsiTheme="minorHAnsi" w:cstheme="minorHAnsi"/>
                <w:sz w:val="22"/>
                <w:szCs w:val="22"/>
              </w:rPr>
            </w:pPr>
            <w:r>
              <w:rPr>
                <w:rFonts w:asciiTheme="minorHAnsi" w:hAnsiTheme="minorHAnsi" w:cstheme="minorHAnsi"/>
                <w:b/>
                <w:sz w:val="22"/>
                <w:szCs w:val="22"/>
              </w:rPr>
              <w:t xml:space="preserve"> </w:t>
            </w:r>
            <w:r w:rsidR="00DF6C20">
              <w:rPr>
                <w:rFonts w:asciiTheme="minorHAnsi" w:hAnsiTheme="minorHAnsi" w:cstheme="minorHAnsi"/>
                <w:sz w:val="22"/>
                <w:szCs w:val="22"/>
              </w:rPr>
              <w:t>There was no action taken as this was an informational update only.</w:t>
            </w:r>
          </w:p>
        </w:tc>
      </w:tr>
      <w:tr w:rsidR="000A6C66" w:rsidRPr="00382C14" w:rsidTr="001D798E">
        <w:tc>
          <w:tcPr>
            <w:tcW w:w="3708" w:type="dxa"/>
          </w:tcPr>
          <w:p w:rsidR="00366684" w:rsidRPr="00E02AFE" w:rsidRDefault="00DF6C20" w:rsidP="00FD55A5">
            <w:pPr>
              <w:pStyle w:val="ListParagraph"/>
              <w:numPr>
                <w:ilvl w:val="0"/>
                <w:numId w:val="1"/>
              </w:numPr>
              <w:rPr>
                <w:rFonts w:cstheme="minorHAnsi"/>
                <w:b/>
              </w:rPr>
            </w:pPr>
            <w:r>
              <w:rPr>
                <w:rFonts w:cstheme="minorHAnsi"/>
                <w:b/>
              </w:rPr>
              <w:t xml:space="preserve">Update </w:t>
            </w:r>
            <w:r w:rsidR="00FD55A5">
              <w:rPr>
                <w:rFonts w:cstheme="minorHAnsi"/>
                <w:b/>
              </w:rPr>
              <w:t>on CMS RFI on advanced primary care models and CPC model</w:t>
            </w:r>
          </w:p>
        </w:tc>
        <w:tc>
          <w:tcPr>
            <w:tcW w:w="1620" w:type="dxa"/>
          </w:tcPr>
          <w:p w:rsidR="000C5E04" w:rsidRPr="00382C14" w:rsidRDefault="00FD55A5" w:rsidP="00CA513B">
            <w:pPr>
              <w:rPr>
                <w:b/>
              </w:rPr>
            </w:pPr>
            <w:r>
              <w:rPr>
                <w:b/>
              </w:rPr>
              <w:t>Lisa Letourneau</w:t>
            </w:r>
          </w:p>
        </w:tc>
        <w:tc>
          <w:tcPr>
            <w:tcW w:w="4050" w:type="dxa"/>
          </w:tcPr>
          <w:p w:rsidR="00366684" w:rsidRPr="007F0CEC" w:rsidRDefault="00FD55A5" w:rsidP="00C21BDB">
            <w:pPr>
              <w:spacing w:after="200" w:line="276" w:lineRule="auto"/>
              <w:rPr>
                <w:rStyle w:val="Strong"/>
                <w:b w:val="0"/>
              </w:rPr>
            </w:pPr>
            <w:r>
              <w:rPr>
                <w:rStyle w:val="Strong"/>
                <w:b w:val="0"/>
              </w:rPr>
              <w:t xml:space="preserve">Dr. Letourneau briefed the Subcommittee on the PCMH conveners join response to the CMS Request for Information on the key components for advanced primary care payment models. Dr. Letourneau also </w:t>
            </w:r>
            <w:r>
              <w:rPr>
                <w:rStyle w:val="Strong"/>
                <w:b w:val="0"/>
              </w:rPr>
              <w:lastRenderedPageBreak/>
              <w:t xml:space="preserve">provided background on the CMS Primary Care Payment Initiative (CPC) that has been introduced in seven regions/states. </w:t>
            </w:r>
          </w:p>
        </w:tc>
        <w:tc>
          <w:tcPr>
            <w:tcW w:w="2790" w:type="dxa"/>
          </w:tcPr>
          <w:p w:rsidR="007824F0" w:rsidRPr="00E02AFE" w:rsidRDefault="00C21BDB" w:rsidP="007F0CEC">
            <w:pPr>
              <w:spacing w:after="200" w:line="276" w:lineRule="auto"/>
              <w:rPr>
                <w:rFonts w:cstheme="minorHAnsi"/>
              </w:rPr>
            </w:pPr>
            <w:r>
              <w:rPr>
                <w:rFonts w:cstheme="minorHAnsi"/>
              </w:rPr>
              <w:lastRenderedPageBreak/>
              <w:t>There was no action taken as this was an informational update only.</w:t>
            </w:r>
          </w:p>
        </w:tc>
      </w:tr>
      <w:tr w:rsidR="000C5E04" w:rsidRPr="00382C14" w:rsidTr="001D798E">
        <w:tc>
          <w:tcPr>
            <w:tcW w:w="3708" w:type="dxa"/>
          </w:tcPr>
          <w:p w:rsidR="00317EB4" w:rsidRPr="00E02AFE" w:rsidRDefault="00FD55A5" w:rsidP="00E02AFE">
            <w:pPr>
              <w:pStyle w:val="ListParagraph"/>
              <w:numPr>
                <w:ilvl w:val="0"/>
                <w:numId w:val="1"/>
              </w:numPr>
              <w:rPr>
                <w:rFonts w:cstheme="minorHAnsi"/>
                <w:b/>
              </w:rPr>
            </w:pPr>
            <w:r>
              <w:rPr>
                <w:rFonts w:cstheme="minorHAnsi"/>
                <w:b/>
              </w:rPr>
              <w:lastRenderedPageBreak/>
              <w:t>Discern report on Innovative Payment for Advanced Primary Care</w:t>
            </w:r>
          </w:p>
        </w:tc>
        <w:tc>
          <w:tcPr>
            <w:tcW w:w="1620" w:type="dxa"/>
          </w:tcPr>
          <w:p w:rsidR="000C5E04" w:rsidRPr="00382C14" w:rsidRDefault="00FD55A5" w:rsidP="00E02AFE">
            <w:pPr>
              <w:rPr>
                <w:b/>
              </w:rPr>
            </w:pPr>
            <w:r>
              <w:rPr>
                <w:b/>
              </w:rPr>
              <w:t>Frank Johnson &amp; Dr. Lisa Letourneau</w:t>
            </w:r>
          </w:p>
        </w:tc>
        <w:tc>
          <w:tcPr>
            <w:tcW w:w="4050" w:type="dxa"/>
          </w:tcPr>
          <w:p w:rsidR="00366684" w:rsidRPr="00382C14" w:rsidRDefault="00FD55A5" w:rsidP="008819BC">
            <w:pPr>
              <w:rPr>
                <w:rFonts w:cstheme="minorHAnsi"/>
              </w:rPr>
            </w:pPr>
            <w:r>
              <w:rPr>
                <w:rFonts w:cstheme="minorHAnsi"/>
              </w:rPr>
              <w:t xml:space="preserve">Frank and Dr. Letourneau provided a review of the report prepared by Discern Health and noted that the MHMC and the Maine Medical Association are co-sponsoring a presentation of </w:t>
            </w:r>
            <w:proofErr w:type="spellStart"/>
            <w:r>
              <w:rPr>
                <w:rFonts w:cstheme="minorHAnsi"/>
              </w:rPr>
              <w:t>Discern’s</w:t>
            </w:r>
            <w:proofErr w:type="spellEnd"/>
            <w:r>
              <w:rPr>
                <w:rFonts w:cstheme="minorHAnsi"/>
              </w:rPr>
              <w:t xml:space="preserve"> findings and recommendations at the ACI Steering Committee’s April 24</w:t>
            </w:r>
            <w:r w:rsidRPr="00FD55A5">
              <w:rPr>
                <w:rFonts w:cstheme="minorHAnsi"/>
                <w:vertAlign w:val="superscript"/>
              </w:rPr>
              <w:t>th</w:t>
            </w:r>
            <w:r>
              <w:rPr>
                <w:rFonts w:cstheme="minorHAnsi"/>
              </w:rPr>
              <w:t xml:space="preserve"> meeting. Guy </w:t>
            </w:r>
            <w:proofErr w:type="spellStart"/>
            <w:r>
              <w:rPr>
                <w:rFonts w:cstheme="minorHAnsi"/>
              </w:rPr>
              <w:t>D’Andrea</w:t>
            </w:r>
            <w:proofErr w:type="spellEnd"/>
            <w:r>
              <w:rPr>
                <w:rFonts w:cstheme="minorHAnsi"/>
              </w:rPr>
              <w:t xml:space="preserve"> from Discern will be in attendance for the presentation.</w:t>
            </w:r>
            <w:r w:rsidR="008819BC">
              <w:rPr>
                <w:rFonts w:cstheme="minorHAnsi"/>
              </w:rPr>
              <w:t xml:space="preserve"> An objective of the Discern presentation is to consider primary care models that may be appropriate for the Maine market. </w:t>
            </w:r>
            <w:r>
              <w:rPr>
                <w:rFonts w:cstheme="minorHAnsi"/>
              </w:rPr>
              <w:t xml:space="preserve">    </w:t>
            </w:r>
          </w:p>
        </w:tc>
        <w:tc>
          <w:tcPr>
            <w:tcW w:w="2790" w:type="dxa"/>
          </w:tcPr>
          <w:p w:rsidR="009A674E" w:rsidRPr="009E21FE" w:rsidRDefault="00366684" w:rsidP="0061044D">
            <w:pPr>
              <w:rPr>
                <w:rFonts w:cstheme="minorHAnsi"/>
              </w:rPr>
            </w:pPr>
            <w:r>
              <w:rPr>
                <w:rFonts w:cstheme="minorHAnsi"/>
              </w:rPr>
              <w:t xml:space="preserve"> </w:t>
            </w:r>
            <w:r w:rsidR="009F70DD">
              <w:rPr>
                <w:rFonts w:cstheme="minorHAnsi"/>
              </w:rPr>
              <w:t>There was no action taken as this was an informational update only.</w:t>
            </w:r>
          </w:p>
        </w:tc>
      </w:tr>
      <w:tr w:rsidR="000A6C66" w:rsidRPr="00382C14" w:rsidTr="001D798E">
        <w:tc>
          <w:tcPr>
            <w:tcW w:w="3708" w:type="dxa"/>
          </w:tcPr>
          <w:p w:rsidR="000A6C66" w:rsidRPr="000714B6" w:rsidRDefault="00FD55A5" w:rsidP="009F70DD">
            <w:pPr>
              <w:pStyle w:val="ListParagraph"/>
              <w:numPr>
                <w:ilvl w:val="0"/>
                <w:numId w:val="1"/>
              </w:numPr>
              <w:rPr>
                <w:rFonts w:cstheme="minorHAnsi"/>
                <w:b/>
              </w:rPr>
            </w:pPr>
            <w:r>
              <w:rPr>
                <w:rFonts w:cstheme="minorHAnsi"/>
                <w:b/>
              </w:rPr>
              <w:t xml:space="preserve">SIM States’ Opportunity for CMS Participation in State Sponsored Initiatives </w:t>
            </w:r>
          </w:p>
        </w:tc>
        <w:tc>
          <w:tcPr>
            <w:tcW w:w="1620" w:type="dxa"/>
          </w:tcPr>
          <w:p w:rsidR="000C5E04" w:rsidRPr="00382C14" w:rsidRDefault="009F70DD" w:rsidP="00CA513B">
            <w:pPr>
              <w:rPr>
                <w:b/>
              </w:rPr>
            </w:pPr>
            <w:r>
              <w:rPr>
                <w:b/>
              </w:rPr>
              <w:t>Frank Johnson</w:t>
            </w:r>
            <w:r w:rsidR="00FD55A5">
              <w:rPr>
                <w:b/>
              </w:rPr>
              <w:t xml:space="preserve"> &amp; Dr. Lisa Letourneau</w:t>
            </w:r>
          </w:p>
        </w:tc>
        <w:tc>
          <w:tcPr>
            <w:tcW w:w="4050" w:type="dxa"/>
          </w:tcPr>
          <w:p w:rsidR="00794936" w:rsidRPr="00382C14" w:rsidRDefault="00366684" w:rsidP="00FD55A5">
            <w:pPr>
              <w:rPr>
                <w:rFonts w:cstheme="minorHAnsi"/>
              </w:rPr>
            </w:pPr>
            <w:r>
              <w:rPr>
                <w:rFonts w:cstheme="minorHAnsi"/>
              </w:rPr>
              <w:t xml:space="preserve"> </w:t>
            </w:r>
            <w:r w:rsidR="00FD55A5">
              <w:rPr>
                <w:rFonts w:cstheme="minorHAnsi"/>
              </w:rPr>
              <w:t>Frank and Dr. Letourneau shared the recent CMS announcement to SIM sates that there is an opportunity to submit proposals for aligned multi-payer payment reform and delivery system initi</w:t>
            </w:r>
            <w:r w:rsidR="008819BC">
              <w:rPr>
                <w:rFonts w:cstheme="minorHAnsi"/>
              </w:rPr>
              <w:t xml:space="preserve">atives with Medicare participation. There was considerable discussion on the value of this opportunity and the need for Maine to be poised to develop a proposal should the State decide to pursue the CMS invitation. There was general agreement that a multi-stakeholder work group, similar to that of the PCMH pilot, should be convened to develop a proposal. It was also recognized that the Payment Reform Subcommittee and the ACI Committee would most likely serve to convene the work group and keep stakeholders </w:t>
            </w:r>
            <w:r w:rsidR="008819BC">
              <w:rPr>
                <w:rFonts w:cstheme="minorHAnsi"/>
              </w:rPr>
              <w:lastRenderedPageBreak/>
              <w:t xml:space="preserve">apprised.  </w:t>
            </w:r>
            <w:r w:rsidR="00FD55A5">
              <w:rPr>
                <w:rFonts w:cstheme="minorHAnsi"/>
              </w:rPr>
              <w:t xml:space="preserve"> </w:t>
            </w:r>
          </w:p>
        </w:tc>
        <w:tc>
          <w:tcPr>
            <w:tcW w:w="2790" w:type="dxa"/>
          </w:tcPr>
          <w:p w:rsidR="009A674E" w:rsidRPr="00382C14" w:rsidRDefault="008819BC" w:rsidP="00A3329A">
            <w:pPr>
              <w:contextualSpacing/>
              <w:rPr>
                <w:rFonts w:cstheme="minorHAnsi"/>
                <w:b/>
              </w:rPr>
            </w:pPr>
            <w:r>
              <w:lastRenderedPageBreak/>
              <w:t>There was no action taken as this was an informational discussion.</w:t>
            </w:r>
          </w:p>
          <w:p w:rsidR="000A6C66" w:rsidRPr="00382C14" w:rsidRDefault="000A6C66" w:rsidP="0061044D">
            <w:pPr>
              <w:rPr>
                <w:rFonts w:cstheme="minorHAnsi"/>
                <w:b/>
              </w:rPr>
            </w:pPr>
          </w:p>
        </w:tc>
      </w:tr>
      <w:tr w:rsidR="000A6C66" w:rsidRPr="00382C14" w:rsidTr="001D798E">
        <w:tc>
          <w:tcPr>
            <w:tcW w:w="3708" w:type="dxa"/>
          </w:tcPr>
          <w:p w:rsidR="00366684" w:rsidRPr="00124585" w:rsidRDefault="008819BC" w:rsidP="009F70DD">
            <w:pPr>
              <w:pStyle w:val="ListParagraph"/>
              <w:numPr>
                <w:ilvl w:val="0"/>
                <w:numId w:val="1"/>
              </w:numPr>
              <w:rPr>
                <w:b/>
              </w:rPr>
            </w:pPr>
            <w:r>
              <w:rPr>
                <w:b/>
              </w:rPr>
              <w:lastRenderedPageBreak/>
              <w:t>Update on SIM Steering Committee Actions</w:t>
            </w:r>
          </w:p>
        </w:tc>
        <w:tc>
          <w:tcPr>
            <w:tcW w:w="1620" w:type="dxa"/>
          </w:tcPr>
          <w:p w:rsidR="000A6C66" w:rsidRDefault="00124585" w:rsidP="00CA513B">
            <w:pPr>
              <w:rPr>
                <w:b/>
              </w:rPr>
            </w:pPr>
            <w:r>
              <w:rPr>
                <w:b/>
              </w:rPr>
              <w:t>Frank Johnson</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205ACD" w:rsidRPr="00382C14" w:rsidRDefault="008819BC" w:rsidP="008819BC">
            <w:pPr>
              <w:contextualSpacing/>
            </w:pPr>
            <w:r>
              <w:t xml:space="preserve">Frank advised the Subcommittee that the SIM Steering Committee has approved the recommendations of the ACI Measure Alignment Work Group and has approved the process for the Cost of Care Work Group’s recommendation for a voluntary annual growth cap on risk-based contracts The Steering Committee has deferred action on public reporting of TCI/RUI pending PTE and MHMC board approval of a modified methodology. </w:t>
            </w:r>
          </w:p>
        </w:tc>
        <w:tc>
          <w:tcPr>
            <w:tcW w:w="2790" w:type="dxa"/>
          </w:tcPr>
          <w:p w:rsidR="000A6C66" w:rsidRPr="00124585" w:rsidRDefault="008819BC" w:rsidP="00CA513B">
            <w:r>
              <w:t xml:space="preserve">This was </w:t>
            </w:r>
            <w:r w:rsidR="00C647E1">
              <w:t>informational only.</w:t>
            </w: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DC45C1" w:rsidP="00CA513B">
            <w:pPr>
              <w:rPr>
                <w:b/>
              </w:rPr>
            </w:pPr>
            <w:r>
              <w:rPr>
                <w:b/>
              </w:rPr>
              <w:t>All</w:t>
            </w:r>
          </w:p>
          <w:p w:rsidR="00317EB4" w:rsidRPr="00382C14" w:rsidRDefault="00307654" w:rsidP="00CA513B">
            <w:pPr>
              <w:rPr>
                <w:b/>
              </w:rPr>
            </w:pPr>
            <w:r>
              <w:rPr>
                <w:b/>
              </w:rPr>
              <w:t xml:space="preserve"> </w:t>
            </w:r>
          </w:p>
        </w:tc>
        <w:tc>
          <w:tcPr>
            <w:tcW w:w="4050" w:type="dxa"/>
          </w:tcPr>
          <w:p w:rsidR="00205ACD" w:rsidRPr="00124585" w:rsidRDefault="00124585" w:rsidP="00DC45C1">
            <w:r>
              <w:t>There was no public comment.</w:t>
            </w:r>
          </w:p>
        </w:tc>
        <w:tc>
          <w:tcPr>
            <w:tcW w:w="2790" w:type="dxa"/>
          </w:tcPr>
          <w:p w:rsidR="00DC45C1" w:rsidRPr="00124585" w:rsidRDefault="00124585" w:rsidP="00CA513B">
            <w:r>
              <w:t>DNA</w:t>
            </w: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124585" w:rsidRDefault="00F03098" w:rsidP="00C647E1">
            <w:r>
              <w:rPr>
                <w:b/>
              </w:rPr>
              <w:t xml:space="preserve"> </w:t>
            </w:r>
            <w:r w:rsidR="00C647E1">
              <w:t xml:space="preserve">Further dialogue on the CMS aligned multi-payer opportunity and advanced primary care payment models </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2E77E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p>
    <w:p w:rsidR="009F70DD" w:rsidRDefault="009F70DD" w:rsidP="00CA7F6A">
      <w:pPr>
        <w:spacing w:after="0" w:line="240" w:lineRule="auto"/>
        <w:jc w:val="center"/>
        <w:rPr>
          <w:rFonts w:eastAsia="Times New Roman" w:cs="Times New Roman"/>
          <w:b/>
        </w:rPr>
      </w:pPr>
    </w:p>
    <w:p w:rsidR="001D1B62" w:rsidRDefault="00C647E1" w:rsidP="00E64695">
      <w:pPr>
        <w:spacing w:after="0" w:line="240" w:lineRule="auto"/>
        <w:jc w:val="center"/>
        <w:rPr>
          <w:rFonts w:eastAsia="Times New Roman" w:cs="Times New Roman"/>
          <w:b/>
        </w:rPr>
      </w:pPr>
      <w:r>
        <w:rPr>
          <w:rFonts w:eastAsia="Times New Roman" w:cs="Times New Roman"/>
          <w:b/>
        </w:rPr>
        <w:t>June 16, 2015</w:t>
      </w:r>
    </w:p>
    <w:p w:rsidR="009F70DD" w:rsidRDefault="00C647E1" w:rsidP="00E64695">
      <w:pPr>
        <w:spacing w:after="0" w:line="240" w:lineRule="auto"/>
        <w:jc w:val="center"/>
        <w:rPr>
          <w:rFonts w:eastAsia="Times New Roman" w:cs="Times New Roman"/>
          <w:b/>
        </w:rPr>
      </w:pPr>
      <w:r>
        <w:rPr>
          <w:rFonts w:eastAsia="Times New Roman" w:cs="Times New Roman"/>
          <w:b/>
        </w:rPr>
        <w:t>Location TBD</w:t>
      </w:r>
      <w:bookmarkStart w:id="0" w:name="_GoBack"/>
      <w:bookmarkEnd w:id="0"/>
    </w:p>
    <w:p w:rsidR="00124585" w:rsidRPr="00382C14" w:rsidRDefault="00124585" w:rsidP="00124585">
      <w:pPr>
        <w:spacing w:after="0" w:line="240" w:lineRule="auto"/>
        <w:rPr>
          <w:rFonts w:eastAsia="Times New Roman" w:cs="Times New Roman"/>
          <w:b/>
        </w:rPr>
      </w:pPr>
    </w:p>
    <w:p w:rsidR="00382C14" w:rsidRPr="00382C14" w:rsidRDefault="00382C14" w:rsidP="00CA513B">
      <w:pPr>
        <w:rPr>
          <w:rStyle w:val="Strong"/>
          <w:color w:val="1F497D" w:themeColor="text2"/>
        </w:rPr>
      </w:pPr>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E9" w:rsidRDefault="00A94EE9" w:rsidP="009528AC">
      <w:pPr>
        <w:spacing w:after="0" w:line="240" w:lineRule="auto"/>
      </w:pPr>
      <w:r>
        <w:separator/>
      </w:r>
    </w:p>
  </w:endnote>
  <w:endnote w:type="continuationSeparator" w:id="0">
    <w:p w:rsidR="00A94EE9" w:rsidRDefault="00A94EE9"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C647E1">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E9" w:rsidRDefault="00A94EE9" w:rsidP="009528AC">
      <w:pPr>
        <w:spacing w:after="0" w:line="240" w:lineRule="auto"/>
      </w:pPr>
      <w:r>
        <w:separator/>
      </w:r>
    </w:p>
  </w:footnote>
  <w:footnote w:type="continuationSeparator" w:id="0">
    <w:p w:rsidR="00A94EE9" w:rsidRDefault="00A94EE9"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714B6"/>
    <w:rsid w:val="00086D9D"/>
    <w:rsid w:val="00097E02"/>
    <w:rsid w:val="000A6C66"/>
    <w:rsid w:val="000B280D"/>
    <w:rsid w:val="000B2917"/>
    <w:rsid w:val="000B3716"/>
    <w:rsid w:val="000B6131"/>
    <w:rsid w:val="000C0A19"/>
    <w:rsid w:val="000C35A5"/>
    <w:rsid w:val="000C5E04"/>
    <w:rsid w:val="000C6E74"/>
    <w:rsid w:val="000D5FE1"/>
    <w:rsid w:val="000D7AD4"/>
    <w:rsid w:val="000E066F"/>
    <w:rsid w:val="000E363D"/>
    <w:rsid w:val="000F667F"/>
    <w:rsid w:val="001034BB"/>
    <w:rsid w:val="00104961"/>
    <w:rsid w:val="00105364"/>
    <w:rsid w:val="00107C92"/>
    <w:rsid w:val="00114C65"/>
    <w:rsid w:val="001173D5"/>
    <w:rsid w:val="0012168B"/>
    <w:rsid w:val="0012170D"/>
    <w:rsid w:val="00124585"/>
    <w:rsid w:val="00124F1E"/>
    <w:rsid w:val="00130314"/>
    <w:rsid w:val="001309E6"/>
    <w:rsid w:val="00133836"/>
    <w:rsid w:val="001521D1"/>
    <w:rsid w:val="0015221F"/>
    <w:rsid w:val="0015295E"/>
    <w:rsid w:val="001565FD"/>
    <w:rsid w:val="001774A5"/>
    <w:rsid w:val="001828A9"/>
    <w:rsid w:val="00184A3F"/>
    <w:rsid w:val="001864D2"/>
    <w:rsid w:val="0019691C"/>
    <w:rsid w:val="00197039"/>
    <w:rsid w:val="0019779D"/>
    <w:rsid w:val="001A2AA7"/>
    <w:rsid w:val="001A3885"/>
    <w:rsid w:val="001B0113"/>
    <w:rsid w:val="001B1456"/>
    <w:rsid w:val="001B589D"/>
    <w:rsid w:val="001C38CD"/>
    <w:rsid w:val="001C4152"/>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A32E1"/>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1C5C"/>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1893"/>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5A3"/>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C3927"/>
    <w:rsid w:val="006D27DE"/>
    <w:rsid w:val="006D671D"/>
    <w:rsid w:val="006F2FDF"/>
    <w:rsid w:val="006F4A12"/>
    <w:rsid w:val="007007D3"/>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B5F1F"/>
    <w:rsid w:val="007C1CDB"/>
    <w:rsid w:val="007C2ECC"/>
    <w:rsid w:val="007D00CF"/>
    <w:rsid w:val="007D1DCD"/>
    <w:rsid w:val="007D3C6E"/>
    <w:rsid w:val="007D4D2E"/>
    <w:rsid w:val="007E0304"/>
    <w:rsid w:val="007E237F"/>
    <w:rsid w:val="007E4775"/>
    <w:rsid w:val="007E4B46"/>
    <w:rsid w:val="007E59DD"/>
    <w:rsid w:val="007F0CEC"/>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19BC"/>
    <w:rsid w:val="008830D6"/>
    <w:rsid w:val="00883C3D"/>
    <w:rsid w:val="00886BE0"/>
    <w:rsid w:val="00891A4C"/>
    <w:rsid w:val="00891F25"/>
    <w:rsid w:val="008A392A"/>
    <w:rsid w:val="008A4222"/>
    <w:rsid w:val="008A4DE0"/>
    <w:rsid w:val="008A54A1"/>
    <w:rsid w:val="008B0C1E"/>
    <w:rsid w:val="008B1327"/>
    <w:rsid w:val="008B2208"/>
    <w:rsid w:val="008B3589"/>
    <w:rsid w:val="008B7D57"/>
    <w:rsid w:val="008C516A"/>
    <w:rsid w:val="008D12EE"/>
    <w:rsid w:val="008D18D1"/>
    <w:rsid w:val="008D6D7B"/>
    <w:rsid w:val="008E162A"/>
    <w:rsid w:val="008E19F6"/>
    <w:rsid w:val="008F2DA8"/>
    <w:rsid w:val="008F5D6E"/>
    <w:rsid w:val="00906A46"/>
    <w:rsid w:val="00910134"/>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0D2F"/>
    <w:rsid w:val="009B1333"/>
    <w:rsid w:val="009B1DED"/>
    <w:rsid w:val="009B480A"/>
    <w:rsid w:val="009B5E40"/>
    <w:rsid w:val="009C071B"/>
    <w:rsid w:val="009C175D"/>
    <w:rsid w:val="009C1965"/>
    <w:rsid w:val="009D0255"/>
    <w:rsid w:val="009E21FE"/>
    <w:rsid w:val="009F7035"/>
    <w:rsid w:val="009F70DD"/>
    <w:rsid w:val="009F74F0"/>
    <w:rsid w:val="00A03F07"/>
    <w:rsid w:val="00A068BD"/>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94EE9"/>
    <w:rsid w:val="00AA3374"/>
    <w:rsid w:val="00AA7672"/>
    <w:rsid w:val="00AB3BCA"/>
    <w:rsid w:val="00AB7076"/>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3E6A"/>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5148"/>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1BDB"/>
    <w:rsid w:val="00C26796"/>
    <w:rsid w:val="00C26D0D"/>
    <w:rsid w:val="00C318BB"/>
    <w:rsid w:val="00C320B4"/>
    <w:rsid w:val="00C46CAB"/>
    <w:rsid w:val="00C472ED"/>
    <w:rsid w:val="00C47D2C"/>
    <w:rsid w:val="00C51824"/>
    <w:rsid w:val="00C5237A"/>
    <w:rsid w:val="00C60DB3"/>
    <w:rsid w:val="00C619AC"/>
    <w:rsid w:val="00C61EA0"/>
    <w:rsid w:val="00C647E1"/>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DF6C20"/>
    <w:rsid w:val="00E02AFE"/>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64695"/>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0000"/>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D55A5"/>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37656-F202-4689-8D07-9E54F65B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2</cp:revision>
  <cp:lastPrinted>2014-12-17T19:01:00Z</cp:lastPrinted>
  <dcterms:created xsi:type="dcterms:W3CDTF">2015-05-01T15:34:00Z</dcterms:created>
  <dcterms:modified xsi:type="dcterms:W3CDTF">2015-05-01T15:34:00Z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